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CAPPE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Post</w:t>
      </w:r>
      <w:r w:rsidDel="00000000" w:rsidR="00000000" w:rsidRPr="00000000">
        <w:rPr>
          <w:b w:val="1"/>
          <w:sz w:val="20"/>
          <w:szCs w:val="20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De-Colonial Reading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Starting 7 February</w:t>
      </w:r>
      <w:r w:rsidDel="00000000" w:rsidR="00000000" w:rsidRPr="00000000">
        <w:rPr>
          <w:sz w:val="20"/>
          <w:szCs w:val="20"/>
          <w:rtl w:val="0"/>
        </w:rPr>
        <w:t xml:space="preserve">, weekly meetings on Wednesdays 12–2 pm, 2018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Room G5 Grand Parade, except when indicated otherwise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Week 1 7/2/18 — </w:t>
      </w:r>
      <w:r w:rsidDel="00000000" w:rsidR="00000000" w:rsidRPr="00000000">
        <w:rPr>
          <w:b w:val="1"/>
          <w:sz w:val="20"/>
          <w:szCs w:val="20"/>
          <w:rtl w:val="0"/>
        </w:rPr>
        <w:t xml:space="preserve">Postcolonial Critique</w:t>
      </w:r>
      <w:r w:rsidDel="00000000" w:rsidR="00000000" w:rsidRPr="00000000">
        <w:rPr>
          <w:sz w:val="20"/>
          <w:szCs w:val="20"/>
          <w:rtl w:val="0"/>
        </w:rPr>
        <w:t xml:space="preserve"> (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room 204, Pavillon Parade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Edward Said (1978) </w:t>
      </w:r>
      <w:r w:rsidDel="00000000" w:rsidR="00000000" w:rsidRPr="00000000">
        <w:rPr>
          <w:i w:val="1"/>
          <w:sz w:val="20"/>
          <w:szCs w:val="20"/>
          <w:rtl w:val="0"/>
        </w:rPr>
        <w:t xml:space="preserve">Orientalism</w:t>
      </w:r>
      <w:r w:rsidDel="00000000" w:rsidR="00000000" w:rsidRPr="00000000">
        <w:rPr>
          <w:sz w:val="20"/>
          <w:szCs w:val="20"/>
          <w:rtl w:val="0"/>
        </w:rPr>
        <w:t xml:space="preserve">. (Introduction, chapter 1 and conclusion)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Week 2  14/2/18 — Subaltern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Chakrabarty, D. (2000) 'A Small History of Subaltern Studies' in Shwarz, H. and Ray, S., eds.,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0"/>
          <w:szCs w:val="20"/>
          <w:rtl w:val="0"/>
        </w:rPr>
        <w:t xml:space="preserve">A Companion to Postcolonial Studies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, Malden, MA: Blackwell Publishers, 467–85.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rFonts w:ascii="Arial" w:cs="Arial" w:eastAsia="Arial" w:hAnsi="Arial"/>
          <w:b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Gayatri C. Spivak (1988) ‘Can the Subaltern Speak?’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Gayatri C. Spivak (1987) ‘Postmarked Calcutta, India’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Week 3 21/2/18 — Bhabha </w:t>
      </w:r>
      <w:r w:rsidDel="00000000" w:rsidR="00000000" w:rsidRPr="00000000">
        <w:rPr>
          <w:b w:val="1"/>
          <w:sz w:val="20"/>
          <w:szCs w:val="20"/>
          <w:rtl w:val="0"/>
        </w:rPr>
        <w:t xml:space="preserve">in conversation with Fanon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Frantz Fanon </w:t>
      </w:r>
      <w:r w:rsidDel="00000000" w:rsidR="00000000" w:rsidRPr="00000000">
        <w:rPr>
          <w:i w:val="1"/>
          <w:sz w:val="20"/>
          <w:szCs w:val="20"/>
          <w:rtl w:val="0"/>
        </w:rPr>
        <w:t xml:space="preserve">The Wretched of the Earth  (chapter to be chosen)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Bhabha, H. K. (2004) 'Foreword: Framing Fanon' in Frantz Fanon, The Wretched of the Earth, New York: Grove Press, vii-xii.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Bhabha, H. K. (1994)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0"/>
          <w:szCs w:val="20"/>
          <w:rtl w:val="0"/>
        </w:rPr>
        <w:t xml:space="preserve">The Location of Culture: Critical Theory and the Postcolonial Perspective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, London: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Routledge. </w:t>
      </w:r>
      <w:r w:rsidDel="00000000" w:rsidR="00000000" w:rsidRPr="00000000">
        <w:rPr>
          <w:sz w:val="20"/>
          <w:szCs w:val="20"/>
          <w:rtl w:val="0"/>
        </w:rPr>
        <w:t xml:space="preserve">Chapters 3 &amp; 4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Week 4 28/2/18 —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Debat</w:t>
      </w:r>
      <w:r w:rsidDel="00000000" w:rsidR="00000000" w:rsidRPr="00000000">
        <w:rPr>
          <w:b w:val="1"/>
          <w:sz w:val="20"/>
          <w:szCs w:val="20"/>
          <w:rtl w:val="0"/>
        </w:rPr>
        <w:t xml:space="preserve">ing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‘the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postcolonial</w:t>
      </w:r>
      <w:r w:rsidDel="00000000" w:rsidR="00000000" w:rsidRPr="00000000">
        <w:rPr>
          <w:b w:val="1"/>
          <w:sz w:val="20"/>
          <w:szCs w:val="20"/>
          <w:rtl w:val="0"/>
        </w:rPr>
        <w:t xml:space="preserve">”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Ella Shohat (2000) ‘Notes on “the Postcolonial”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Stuart Hall (1996) 'When Was ‘the Post-Colonial’? Thinking at the Limit'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Timothy Brennan (2014) ‘Subaltern Stakes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’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Week 5 7/</w:t>
      </w:r>
      <w:r w:rsidDel="00000000" w:rsidR="00000000" w:rsidRPr="00000000">
        <w:rPr>
          <w:b w:val="1"/>
          <w:sz w:val="20"/>
          <w:szCs w:val="20"/>
          <w:rtl w:val="0"/>
        </w:rPr>
        <w:t xml:space="preserve">3/18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— Decolonial thought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Walter Mignolo (2000) - Many faces of Cosmo-polis: Border Thinking and Critical Cosmopolitanism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Anibal Quijano (2007) Coloniality and Modernity/Rationality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Week 6 14/3/18 — Questions of Modernity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rFonts w:ascii="Arial" w:cs="Arial" w:eastAsia="Arial" w:hAnsi="Arial"/>
          <w:b w:val="0"/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Timothy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Mitchell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(2000) 'The Stage of Modernity' in Mitchell, T., ed.,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0"/>
          <w:szCs w:val="20"/>
          <w:rtl w:val="0"/>
        </w:rPr>
        <w:t xml:space="preserve">Questions of Modernity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, Minneapolis: University of Minnesota Press, 1–34.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Sylvia Wynter - Unsettling the Coloniality of Being/Power/Truth/Freedom: Towards the Human, After Man, Its Overrepresentation - An Argument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Week 7 21/3/18 — Post/de-colonial Historiography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room 204, Pavillon Parade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rFonts w:ascii="Arial" w:cs="Arial" w:eastAsia="Arial" w:hAnsi="Arial"/>
          <w:b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Chakrabarty, D. (2007)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0"/>
          <w:szCs w:val="20"/>
          <w:rtl w:val="0"/>
        </w:rPr>
        <w:t xml:space="preserve">Provincializing Europe: Postcolonial Thought and Historical Difference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, Princeton: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Princeton University Press. 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Enrique Dussel (1995) - The Invention of the Americas (except tbc)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222222"/>
          <w:sz w:val="21"/>
          <w:szCs w:val="21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OR</w:t>
      </w:r>
      <w:r w:rsidDel="00000000" w:rsidR="00000000" w:rsidRPr="00000000">
        <w:rPr>
          <w:sz w:val="20"/>
          <w:szCs w:val="20"/>
          <w:rtl w:val="0"/>
        </w:rPr>
        <w:t xml:space="preserve"> Arif Dirlik </w:t>
      </w:r>
      <w:r w:rsidDel="00000000" w:rsidR="00000000" w:rsidRPr="00000000">
        <w:rPr>
          <w:color w:val="222222"/>
          <w:sz w:val="21"/>
          <w:szCs w:val="21"/>
          <w:rtl w:val="0"/>
        </w:rPr>
        <w:t xml:space="preserve">(1999). "Is There History after Eurocentrism?: Globalism, Postcolonialism, and the Disavowal of History". </w:t>
      </w:r>
      <w:r w:rsidDel="00000000" w:rsidR="00000000" w:rsidRPr="00000000">
        <w:rPr>
          <w:i w:val="1"/>
          <w:color w:val="222222"/>
          <w:sz w:val="21"/>
          <w:szCs w:val="21"/>
          <w:rtl w:val="0"/>
        </w:rPr>
        <w:t xml:space="preserve">Cultural Critique</w:t>
      </w:r>
      <w:r w:rsidDel="00000000" w:rsidR="00000000" w:rsidRPr="00000000">
        <w:rPr>
          <w:color w:val="222222"/>
          <w:sz w:val="21"/>
          <w:szCs w:val="21"/>
          <w:rtl w:val="0"/>
        </w:rPr>
        <w:t xml:space="preserve">: 1–34.</w:t>
      </w:r>
    </w:p>
    <w:p w:rsidR="00000000" w:rsidDel="00000000" w:rsidP="00000000" w:rsidRDefault="00000000" w:rsidRPr="00000000">
      <w:pPr>
        <w:spacing w:after="20" w:before="60" w:lineRule="auto"/>
        <w:contextualSpacing w:val="0"/>
        <w:rPr>
          <w:color w:val="222222"/>
          <w:sz w:val="21"/>
          <w:szCs w:val="21"/>
        </w:rPr>
      </w:pPr>
      <w:r w:rsidDel="00000000" w:rsidR="00000000" w:rsidRPr="00000000">
        <w:rPr>
          <w:sz w:val="20"/>
          <w:szCs w:val="20"/>
          <w:rtl w:val="0"/>
        </w:rPr>
        <w:t xml:space="preserve">Arif Dirlik </w:t>
      </w:r>
      <w:r w:rsidDel="00000000" w:rsidR="00000000" w:rsidRPr="00000000">
        <w:rPr>
          <w:color w:val="222222"/>
          <w:sz w:val="21"/>
          <w:szCs w:val="21"/>
          <w:rtl w:val="0"/>
        </w:rPr>
        <w:t xml:space="preserve">2002). "History without a Center? Reflexions on Eurocentrism". </w:t>
      </w:r>
      <w:r w:rsidDel="00000000" w:rsidR="00000000" w:rsidRPr="00000000">
        <w:rPr>
          <w:i w:val="1"/>
          <w:color w:val="222222"/>
          <w:sz w:val="21"/>
          <w:szCs w:val="21"/>
          <w:rtl w:val="0"/>
        </w:rPr>
        <w:t xml:space="preserve">in E. Fuchs et al.(eds.), Across Cultural Borders: historiography in global perspective. Lanham MD: Rowman &amp; Lttlefield</w:t>
      </w:r>
      <w:r w:rsidDel="00000000" w:rsidR="00000000" w:rsidRPr="00000000">
        <w:rPr>
          <w:color w:val="222222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Week 8 18/</w:t>
      </w:r>
      <w:r w:rsidDel="00000000" w:rsidR="00000000" w:rsidRPr="00000000">
        <w:rPr>
          <w:b w:val="1"/>
          <w:sz w:val="20"/>
          <w:szCs w:val="20"/>
          <w:rtl w:val="0"/>
        </w:rPr>
        <w:t xml:space="preserve">4/18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— </w:t>
      </w:r>
      <w:r w:rsidDel="00000000" w:rsidR="00000000" w:rsidRPr="00000000">
        <w:rPr>
          <w:b w:val="1"/>
          <w:sz w:val="20"/>
          <w:szCs w:val="20"/>
          <w:rtl w:val="0"/>
        </w:rPr>
        <w:t xml:space="preserve">Political Economy and (neo)</w:t>
      </w:r>
      <w:r w:rsidDel="00000000" w:rsidR="00000000" w:rsidRPr="00000000">
        <w:rPr>
          <w:b w:val="1"/>
          <w:sz w:val="20"/>
          <w:szCs w:val="20"/>
          <w:rtl w:val="0"/>
        </w:rPr>
        <w:t xml:space="preserve">colonialism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bookmarkStart w:colFirst="0" w:colLast="0" w:name="_11m1j08pve1n" w:id="0"/>
      <w:bookmarkEnd w:id="0"/>
      <w:r w:rsidDel="00000000" w:rsidR="00000000" w:rsidRPr="00000000">
        <w:rPr>
          <w:sz w:val="20"/>
          <w:szCs w:val="20"/>
          <w:rtl w:val="0"/>
        </w:rPr>
        <w:t xml:space="preserve">Gurminder Bhambra and John Holmwood (2017) - colonialism, postcolonialism, and the liberal welfare state (2017)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bookmarkStart w:colFirst="0" w:colLast="0" w:name="_3eqvjoq4bkci" w:id="1"/>
      <w:bookmarkEnd w:id="1"/>
      <w:r w:rsidDel="00000000" w:rsidR="00000000" w:rsidRPr="00000000">
        <w:rPr>
          <w:sz w:val="20"/>
          <w:szCs w:val="20"/>
          <w:rtl w:val="0"/>
        </w:rPr>
        <w:t xml:space="preserve">Arturo Escobar (1995) - Encountering Development (chapter tbc)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Week 9 25/4/18 — Gender, Se</w:t>
      </w:r>
      <w:r w:rsidDel="00000000" w:rsidR="00000000" w:rsidRPr="00000000">
        <w:rPr>
          <w:b w:val="1"/>
          <w:sz w:val="20"/>
          <w:szCs w:val="20"/>
          <w:rtl w:val="0"/>
        </w:rPr>
        <w:t xml:space="preserve">xuality and Western Interventionism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Jasbir K Puar (2007) </w:t>
      </w:r>
      <w:r w:rsidDel="00000000" w:rsidR="00000000" w:rsidRPr="00000000">
        <w:rPr>
          <w:i w:val="1"/>
          <w:sz w:val="20"/>
          <w:szCs w:val="20"/>
          <w:rtl w:val="0"/>
        </w:rPr>
        <w:t xml:space="preserve">Terrorist Assemblages: Homonationalism in Queer Times</w:t>
      </w:r>
      <w:r w:rsidDel="00000000" w:rsidR="00000000" w:rsidRPr="00000000">
        <w:rPr>
          <w:sz w:val="20"/>
          <w:szCs w:val="20"/>
          <w:rtl w:val="0"/>
        </w:rPr>
        <w:t xml:space="preserve">. London: Duke University Press. Chapter to be chosen. 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or: 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Lila Abu-Lughod (2002) “Do Muslim Women Really Need Saving?”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Maybe: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Joseph Massad (2007) “Re-Orienting Desire: The Gay International and the Arab World” in </w:t>
      </w:r>
      <w:r w:rsidDel="00000000" w:rsidR="00000000" w:rsidRPr="00000000">
        <w:rPr>
          <w:i w:val="1"/>
          <w:sz w:val="20"/>
          <w:szCs w:val="20"/>
          <w:rtl w:val="0"/>
        </w:rPr>
        <w:t xml:space="preserve">Desiring Arabs</w:t>
      </w:r>
      <w:r w:rsidDel="00000000" w:rsidR="00000000" w:rsidRPr="00000000">
        <w:rPr>
          <w:sz w:val="20"/>
          <w:szCs w:val="20"/>
          <w:rtl w:val="0"/>
        </w:rPr>
        <w:t xml:space="preserve">. University of Chicago Press.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b w:val="1"/>
          <w:sz w:val="20"/>
          <w:szCs w:val="20"/>
        </w:rPr>
      </w:pPr>
      <w:bookmarkStart w:colFirst="0" w:colLast="0" w:name="_fpghpxd8n5os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Week 10 2/5</w:t>
      </w:r>
      <w:r w:rsidDel="00000000" w:rsidR="00000000" w:rsidRPr="00000000">
        <w:rPr>
          <w:b w:val="1"/>
          <w:sz w:val="20"/>
          <w:szCs w:val="20"/>
          <w:rtl w:val="0"/>
        </w:rPr>
        <w:t xml:space="preserve">/18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— </w:t>
      </w:r>
      <w:r w:rsidDel="00000000" w:rsidR="00000000" w:rsidRPr="00000000">
        <w:rPr>
          <w:b w:val="1"/>
          <w:sz w:val="20"/>
          <w:szCs w:val="20"/>
          <w:rtl w:val="0"/>
        </w:rPr>
        <w:t xml:space="preserve">Gender and colonialism 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Maria Lugones - Heterosexualism and the Colonial/Modern Gender System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Rosalba Icaza and Rolando Vasquez - The Coloniality of Gender as a Radical Critique of Developmentalism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b w:val="1"/>
          <w:sz w:val="20"/>
          <w:szCs w:val="20"/>
        </w:rPr>
      </w:pPr>
      <w:bookmarkStart w:colFirst="0" w:colLast="0" w:name="_t5r86p2sw03c" w:id="3"/>
      <w:bookmarkEnd w:id="3"/>
      <w:r w:rsidDel="00000000" w:rsidR="00000000" w:rsidRPr="00000000">
        <w:rPr>
          <w:b w:val="1"/>
          <w:sz w:val="20"/>
          <w:szCs w:val="20"/>
          <w:rtl w:val="0"/>
        </w:rPr>
        <w:t xml:space="preserve">Week 11 9/5/18 — Design, Precedence and the Anthropocene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sz w:val="20"/>
          <w:szCs w:val="20"/>
        </w:rPr>
      </w:pPr>
      <w:bookmarkStart w:colFirst="0" w:colLast="0" w:name="_vtrrkndthx72" w:id="4"/>
      <w:bookmarkEnd w:id="4"/>
      <w:r w:rsidDel="00000000" w:rsidR="00000000" w:rsidRPr="00000000">
        <w:rPr>
          <w:sz w:val="20"/>
          <w:szCs w:val="20"/>
          <w:rtl w:val="0"/>
        </w:rPr>
        <w:t xml:space="preserve">Rolando Vasquez (2017) - Precedence, Earth and the Anthropocene: Decolonizing Design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sz w:val="20"/>
          <w:szCs w:val="20"/>
        </w:rPr>
      </w:pPr>
      <w:bookmarkStart w:colFirst="0" w:colLast="0" w:name="_2767l91k35lo" w:id="5"/>
      <w:bookmarkEnd w:id="5"/>
      <w:r w:rsidDel="00000000" w:rsidR="00000000" w:rsidRPr="00000000">
        <w:rPr>
          <w:sz w:val="20"/>
          <w:szCs w:val="20"/>
          <w:rtl w:val="0"/>
        </w:rPr>
        <w:t xml:space="preserve">Mignolo &amp; Vasquez. Decolonial AstheSis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sz w:val="20"/>
          <w:szCs w:val="20"/>
        </w:rPr>
      </w:pPr>
      <w:bookmarkStart w:colFirst="0" w:colLast="0" w:name="_357se24cld80" w:id="6"/>
      <w:bookmarkEnd w:id="6"/>
      <w:r w:rsidDel="00000000" w:rsidR="00000000" w:rsidRPr="00000000">
        <w:rPr>
          <w:sz w:val="20"/>
          <w:szCs w:val="20"/>
          <w:rtl w:val="0"/>
        </w:rPr>
        <w:t xml:space="preserve">TBC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b w:val="1"/>
          <w:sz w:val="20"/>
          <w:szCs w:val="20"/>
        </w:rPr>
      </w:pPr>
      <w:bookmarkStart w:colFirst="0" w:colLast="0" w:name="_9o8bbsrwuthv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sz w:val="20"/>
          <w:szCs w:val="20"/>
        </w:rPr>
      </w:pPr>
      <w:bookmarkStart w:colFirst="0" w:colLast="0" w:name="_q0zracw25ewd" w:id="8"/>
      <w:bookmarkEnd w:id="8"/>
      <w:r w:rsidDel="00000000" w:rsidR="00000000" w:rsidRPr="00000000">
        <w:rPr>
          <w:b w:val="1"/>
          <w:sz w:val="20"/>
          <w:szCs w:val="20"/>
          <w:rtl w:val="0"/>
        </w:rPr>
        <w:t xml:space="preserve">Week 12 16/5/18 — Workshop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room G5, Grand Parade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>
          <w:b w:val="1"/>
          <w:sz w:val="20"/>
          <w:szCs w:val="20"/>
        </w:rPr>
      </w:pPr>
      <w:bookmarkStart w:colFirst="0" w:colLast="0" w:name="_egy8e2ftrjpe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GB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  <w:contextualSpacing w:val="0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  <w:contextualSpacing w:val="0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  <w:contextualSpacing w:val="0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76" w:lineRule="auto"/>
      <w:contextualSpacing w:val="0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  <w:contextualSpacing w:val="0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  <w:contextualSpacing w:val="0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76" w:lineRule="auto"/>
      <w:contextualSpacing w:val="0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76" w:lineRule="auto"/>
      <w:contextualSpacing w:val="0"/>
    </w:pPr>
    <w:rPr>
      <w:rFonts w:ascii="Arial" w:cs="Arial" w:eastAsia="Arial" w:hAnsi="Arial"/>
      <w:b w:val="0"/>
      <w:i w:val="1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