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59" w:rsidRDefault="005270CB">
      <w:r>
        <w:rPr>
          <w:noProof/>
          <w:lang w:eastAsia="en-GB"/>
        </w:rPr>
        <w:drawing>
          <wp:inline distT="0" distB="0" distL="0" distR="0">
            <wp:extent cx="1701578" cy="48939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e-logo-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700" cy="4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0CB" w:rsidRDefault="005270CB" w:rsidP="005270CB">
      <w:pPr>
        <w:jc w:val="center"/>
        <w:rPr>
          <w:b/>
          <w:sz w:val="32"/>
          <w:szCs w:val="32"/>
        </w:rPr>
      </w:pPr>
      <w:r w:rsidRPr="00352E95">
        <w:rPr>
          <w:b/>
          <w:sz w:val="32"/>
          <w:szCs w:val="32"/>
        </w:rPr>
        <w:t>Researcher Development Certificate</w:t>
      </w:r>
    </w:p>
    <w:p w:rsidR="00352E95" w:rsidRPr="00352E95" w:rsidRDefault="00151C9B" w:rsidP="005270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February 2016</w:t>
      </w:r>
    </w:p>
    <w:p w:rsidR="00B359E6" w:rsidRPr="001405E5" w:rsidRDefault="00B359E6" w:rsidP="001405E5">
      <w:pPr>
        <w:pStyle w:val="ListParagraph"/>
        <w:numPr>
          <w:ilvl w:val="0"/>
          <w:numId w:val="3"/>
        </w:numPr>
        <w:rPr>
          <w:b/>
        </w:rPr>
      </w:pPr>
      <w:r w:rsidRPr="001405E5">
        <w:rPr>
          <w:b/>
        </w:rPr>
        <w:t>Introduction</w:t>
      </w:r>
    </w:p>
    <w:p w:rsidR="005270CB" w:rsidRDefault="005270CB" w:rsidP="005270CB">
      <w:r>
        <w:t xml:space="preserve">The purpose of the Researcher Development Certificate (RDC) is to enable students to evidence that, in addition to </w:t>
      </w:r>
      <w:r w:rsidR="00B359E6">
        <w:t xml:space="preserve">completing the requirements of their </w:t>
      </w:r>
      <w:r>
        <w:t xml:space="preserve">doctorate, they have undertaken training and career development in order to widen their skills and </w:t>
      </w:r>
      <w:r w:rsidR="00C33594">
        <w:t>enhance their employability</w:t>
      </w:r>
      <w:r w:rsidR="00597151">
        <w:t xml:space="preserve"> in and beyond higher education.</w:t>
      </w:r>
    </w:p>
    <w:p w:rsidR="005270CB" w:rsidRDefault="00F6673A" w:rsidP="005270CB">
      <w:r>
        <w:t>Whilst the RDC is not compulsory, a</w:t>
      </w:r>
      <w:r w:rsidR="005270CB">
        <w:t xml:space="preserve">ll TECHNE students are expected to undertake training and development which will lead to the award of a RDC where the criteria are fulfilled. </w:t>
      </w:r>
      <w:r w:rsidR="006546DC">
        <w:t xml:space="preserve">TECHNE Associates may pursue the award of a RDC but are not obliged to. </w:t>
      </w:r>
      <w:r w:rsidR="00151C9B">
        <w:t xml:space="preserve"> TECHNE</w:t>
      </w:r>
      <w:r w:rsidR="005270CB">
        <w:t xml:space="preserve"> requires that </w:t>
      </w:r>
      <w:r w:rsidR="00151C9B">
        <w:t xml:space="preserve">full-time </w:t>
      </w:r>
      <w:r w:rsidR="00597151">
        <w:t xml:space="preserve">doctoral students undertake an average of 10 days training per academic year, </w:t>
      </w:r>
      <w:r w:rsidR="00151C9B">
        <w:t xml:space="preserve">(five days for a part-time student), </w:t>
      </w:r>
      <w:r w:rsidR="00597151">
        <w:t>and t</w:t>
      </w:r>
      <w:r w:rsidR="005270CB">
        <w:t xml:space="preserve">he RDC is </w:t>
      </w:r>
      <w:r w:rsidR="00597151">
        <w:t>a way of</w:t>
      </w:r>
      <w:r w:rsidR="005270CB">
        <w:t xml:space="preserve"> formal</w:t>
      </w:r>
      <w:r w:rsidR="00597151">
        <w:t xml:space="preserve">ly accrediting this. </w:t>
      </w:r>
      <w:r w:rsidR="006546DC">
        <w:t>Some TECHNE institutions also have their own institutional training requirements.</w:t>
      </w:r>
      <w:r w:rsidR="00597151">
        <w:t xml:space="preserve"> TECHNE intends the RDC to be more than a ‘tick box’ exercise and encourages students and supervisors to regard skills development as a positive and enjoyable process in its own right, and one that may give students advantages when applying for jobs.</w:t>
      </w:r>
      <w:r w:rsidR="006546DC">
        <w:t xml:space="preserve">  TECHNE Partners have asked students to be made aware that as prospective employers they value the RDC.</w:t>
      </w:r>
    </w:p>
    <w:p w:rsidR="00B359E6" w:rsidRPr="001405E5" w:rsidRDefault="00B359E6" w:rsidP="001405E5">
      <w:pPr>
        <w:pStyle w:val="ListParagraph"/>
        <w:numPr>
          <w:ilvl w:val="0"/>
          <w:numId w:val="3"/>
        </w:numPr>
        <w:rPr>
          <w:b/>
        </w:rPr>
      </w:pPr>
      <w:r w:rsidRPr="001405E5">
        <w:rPr>
          <w:b/>
        </w:rPr>
        <w:t>Identifying Learning</w:t>
      </w:r>
      <w:r w:rsidR="00314490">
        <w:rPr>
          <w:b/>
        </w:rPr>
        <w:t xml:space="preserve"> and Development</w:t>
      </w:r>
      <w:r w:rsidRPr="001405E5">
        <w:rPr>
          <w:b/>
        </w:rPr>
        <w:t xml:space="preserve"> Needs</w:t>
      </w:r>
    </w:p>
    <w:p w:rsidR="00E56F7C" w:rsidRDefault="00D437C7" w:rsidP="005270CB">
      <w:r>
        <w:t>It is important that any training or development you undertake is</w:t>
      </w:r>
      <w:r w:rsidR="00B359E6">
        <w:t xml:space="preserve"> meaningfully</w:t>
      </w:r>
      <w:r>
        <w:t xml:space="preserve"> related to your development as a researcher, or</w:t>
      </w:r>
      <w:r w:rsidR="00B359E6">
        <w:t xml:space="preserve"> to</w:t>
      </w:r>
      <w:r>
        <w:t xml:space="preserve"> your career goals. TECHNE does not want st</w:t>
      </w:r>
      <w:r w:rsidR="00314490">
        <w:t>udents attending workshops merely to</w:t>
      </w:r>
      <w:r>
        <w:t xml:space="preserve"> fulfil their</w:t>
      </w:r>
      <w:r w:rsidR="00F6673A">
        <w:t xml:space="preserve"> training</w:t>
      </w:r>
      <w:r w:rsidR="003D0817">
        <w:t xml:space="preserve"> requirement</w:t>
      </w:r>
      <w:r w:rsidR="00314490">
        <w:t>. In your meetings with your s</w:t>
      </w:r>
      <w:r>
        <w:t>up</w:t>
      </w:r>
      <w:r w:rsidR="00BA2B65">
        <w:t>ervisor</w:t>
      </w:r>
      <w:r w:rsidR="00314490">
        <w:t>y team</w:t>
      </w:r>
      <w:r w:rsidR="00BA2B65">
        <w:t xml:space="preserve"> you will discuss your learning</w:t>
      </w:r>
      <w:r>
        <w:t xml:space="preserve"> needs.  You have already identified some in your application for a TECHNE sc</w:t>
      </w:r>
      <w:r w:rsidR="00B359E6">
        <w:t>holarship and these will</w:t>
      </w:r>
      <w:r>
        <w:t xml:space="preserve"> be built upon as your studies progress.  Your institution is like</w:t>
      </w:r>
      <w:r w:rsidR="00E56F7C">
        <w:t xml:space="preserve">ly to have </w:t>
      </w:r>
      <w:r w:rsidR="00352E95">
        <w:t xml:space="preserve">a </w:t>
      </w:r>
      <w:r>
        <w:t>Needs Analysis template to struct</w:t>
      </w:r>
      <w:r w:rsidR="00B359E6">
        <w:t>ure conversations about learning</w:t>
      </w:r>
      <w:r w:rsidR="00314490">
        <w:t xml:space="preserve"> needs or you can use the TECHNE Learning and Development Needs Analysis template</w:t>
      </w:r>
      <w:r w:rsidR="00352E95">
        <w:t xml:space="preserve"> (available on the TECHNE website)</w:t>
      </w:r>
      <w:r w:rsidR="00314490">
        <w:t>.</w:t>
      </w:r>
      <w:r>
        <w:t xml:space="preserve">  </w:t>
      </w:r>
    </w:p>
    <w:p w:rsidR="00B359E6" w:rsidRPr="001405E5" w:rsidRDefault="00B359E6" w:rsidP="001405E5">
      <w:pPr>
        <w:pStyle w:val="ListParagraph"/>
        <w:numPr>
          <w:ilvl w:val="0"/>
          <w:numId w:val="3"/>
        </w:numPr>
        <w:rPr>
          <w:b/>
        </w:rPr>
      </w:pPr>
      <w:r w:rsidRPr="001405E5">
        <w:rPr>
          <w:b/>
        </w:rPr>
        <w:t>Vitae Researcher Development Framework</w:t>
      </w:r>
    </w:p>
    <w:p w:rsidR="00D437C7" w:rsidRDefault="00E56F7C" w:rsidP="005270CB">
      <w:r>
        <w:t>The Vitae Researcher Development Framework</w:t>
      </w:r>
      <w:r w:rsidR="00BA2B65">
        <w:t xml:space="preserve"> (RDF)</w:t>
      </w:r>
      <w:r>
        <w:t xml:space="preserve"> </w:t>
      </w:r>
      <w:proofErr w:type="gramStart"/>
      <w:r>
        <w:t>[</w:t>
      </w:r>
      <w:r w:rsidR="00BA2B65">
        <w:t xml:space="preserve"> </w:t>
      </w:r>
      <w:proofErr w:type="gramEnd"/>
      <w:r w:rsidR="00BA2B65">
        <w:fldChar w:fldCharType="begin"/>
      </w:r>
      <w:r w:rsidR="00BA2B65">
        <w:instrText xml:space="preserve"> HYPERLINK "http://</w:instrText>
      </w:r>
      <w:r w:rsidR="00BA2B65" w:rsidRPr="00BA2B65">
        <w:instrText>www.vitae.ac.uk/RDF</w:instrText>
      </w:r>
      <w:r w:rsidR="00BA2B65">
        <w:instrText xml:space="preserve">" </w:instrText>
      </w:r>
      <w:r w:rsidR="00BA2B65">
        <w:fldChar w:fldCharType="separate"/>
      </w:r>
      <w:r w:rsidR="00BA2B65" w:rsidRPr="000F5CCE">
        <w:rPr>
          <w:rStyle w:val="Hyperlink"/>
        </w:rPr>
        <w:t>www.vitae.ac.uk/RDF</w:t>
      </w:r>
      <w:r w:rsidR="00BA2B65">
        <w:fldChar w:fldCharType="end"/>
      </w:r>
      <w:r w:rsidR="00BA2B65">
        <w:t xml:space="preserve">  </w:t>
      </w:r>
      <w:r>
        <w:t xml:space="preserve">]  is recognised by TECHNE institutions as the framework </w:t>
      </w:r>
      <w:r w:rsidR="00BA2B65">
        <w:t xml:space="preserve"> which can be used by researchers at any stage in their careers to identify skills and strengths and plan their career development.  The RDF is organised around four main attributes:</w:t>
      </w:r>
    </w:p>
    <w:p w:rsidR="00BA2B65" w:rsidRDefault="00314490" w:rsidP="00BA2B65">
      <w:pPr>
        <w:pStyle w:val="ListParagraph"/>
        <w:numPr>
          <w:ilvl w:val="0"/>
          <w:numId w:val="1"/>
        </w:numPr>
      </w:pPr>
      <w:r>
        <w:t xml:space="preserve">Domain A: </w:t>
      </w:r>
      <w:r w:rsidR="00BA2B65">
        <w:t>Knowledge and intellectual abilities</w:t>
      </w:r>
    </w:p>
    <w:p w:rsidR="00BA2B65" w:rsidRDefault="00314490" w:rsidP="00BA2B65">
      <w:pPr>
        <w:pStyle w:val="ListParagraph"/>
        <w:numPr>
          <w:ilvl w:val="0"/>
          <w:numId w:val="1"/>
        </w:numPr>
      </w:pPr>
      <w:r>
        <w:t xml:space="preserve">Domain B: </w:t>
      </w:r>
      <w:r w:rsidR="00BA2B65">
        <w:t>Personal effectiveness</w:t>
      </w:r>
    </w:p>
    <w:p w:rsidR="00BA2B65" w:rsidRDefault="00314490" w:rsidP="00BA2B65">
      <w:pPr>
        <w:pStyle w:val="ListParagraph"/>
        <w:numPr>
          <w:ilvl w:val="0"/>
          <w:numId w:val="1"/>
        </w:numPr>
      </w:pPr>
      <w:r>
        <w:t xml:space="preserve">Domain C: </w:t>
      </w:r>
      <w:r w:rsidR="00BA2B65">
        <w:t>Research governance and organisation</w:t>
      </w:r>
    </w:p>
    <w:p w:rsidR="00BA2B65" w:rsidRDefault="00314490" w:rsidP="00BA2B65">
      <w:pPr>
        <w:pStyle w:val="ListParagraph"/>
        <w:numPr>
          <w:ilvl w:val="0"/>
          <w:numId w:val="1"/>
        </w:numPr>
      </w:pPr>
      <w:r>
        <w:t xml:space="preserve">Domain D: </w:t>
      </w:r>
      <w:r w:rsidR="00BA2B65">
        <w:t>Engagement, influence and impact</w:t>
      </w:r>
    </w:p>
    <w:p w:rsidR="00BA2B65" w:rsidRDefault="00BA2B65" w:rsidP="00BA2B65">
      <w:r>
        <w:lastRenderedPageBreak/>
        <w:t>You should ensure that the conversations with your Supervisor about learning needs include training and development that relates to your broader development as a researcher and your ultimate career goals as well as the immediate and specific needs of your PhD.  TECHNE provides such a template</w:t>
      </w:r>
      <w:r w:rsidR="00314490">
        <w:t xml:space="preserve"> (the Learnin</w:t>
      </w:r>
      <w:r w:rsidR="00352E95">
        <w:t>g and Development Needs Analysis)</w:t>
      </w:r>
      <w:r>
        <w:t xml:space="preserve"> but you can use your </w:t>
      </w:r>
      <w:proofErr w:type="gramStart"/>
      <w:r>
        <w:t>institution’s</w:t>
      </w:r>
      <w:proofErr w:type="gramEnd"/>
      <w:r>
        <w:t xml:space="preserve"> if you prefer.</w:t>
      </w:r>
    </w:p>
    <w:p w:rsidR="00B359E6" w:rsidRPr="001405E5" w:rsidRDefault="00B359E6" w:rsidP="001405E5">
      <w:pPr>
        <w:pStyle w:val="ListParagraph"/>
        <w:numPr>
          <w:ilvl w:val="0"/>
          <w:numId w:val="3"/>
        </w:numPr>
        <w:rPr>
          <w:b/>
        </w:rPr>
      </w:pPr>
      <w:r w:rsidRPr="001405E5">
        <w:rPr>
          <w:b/>
        </w:rPr>
        <w:t>Training</w:t>
      </w:r>
      <w:r w:rsidR="00352E95">
        <w:rPr>
          <w:b/>
        </w:rPr>
        <w:t>/Learning/Development</w:t>
      </w:r>
      <w:r w:rsidRPr="001405E5">
        <w:rPr>
          <w:b/>
        </w:rPr>
        <w:t xml:space="preserve"> Logs</w:t>
      </w:r>
    </w:p>
    <w:p w:rsidR="00C33594" w:rsidRDefault="00C33594" w:rsidP="005270CB">
      <w:r>
        <w:t>In order to qualify for the RDC you will need to keep a</w:t>
      </w:r>
      <w:r w:rsidR="00D437C7">
        <w:t xml:space="preserve"> record of </w:t>
      </w:r>
      <w:r>
        <w:t xml:space="preserve">the activities you undertake.  Most TECHNE member institutions have a </w:t>
      </w:r>
      <w:r w:rsidR="00BA2B65">
        <w:t xml:space="preserve">Training Log or an e-portfolio such as </w:t>
      </w:r>
      <w:proofErr w:type="spellStart"/>
      <w:r w:rsidR="00BA2B65">
        <w:t>Mahara</w:t>
      </w:r>
      <w:proofErr w:type="spellEnd"/>
      <w:r w:rsidR="00314490">
        <w:t xml:space="preserve"> </w:t>
      </w:r>
      <w:r w:rsidR="00BA2B65">
        <w:t xml:space="preserve"> which enables you to record development activit</w:t>
      </w:r>
      <w:r w:rsidR="00314490">
        <w:t>ies, but TECHNE also provides a Learning and Development Log</w:t>
      </w:r>
      <w:r w:rsidR="00BA2B65">
        <w:t xml:space="preserve"> </w:t>
      </w:r>
      <w:r w:rsidR="00352E95" w:rsidRPr="00352E95">
        <w:t xml:space="preserve">(available on the TECHNE website) </w:t>
      </w:r>
      <w:r w:rsidR="00BA2B65">
        <w:t>which can be used if you prefer.</w:t>
      </w:r>
      <w:r w:rsidR="00352E95">
        <w:t xml:space="preserve">  Your</w:t>
      </w:r>
      <w:r w:rsidR="007C07FA">
        <w:t xml:space="preserve"> Log should include all training and development activities, not</w:t>
      </w:r>
      <w:r w:rsidR="00F6673A">
        <w:t xml:space="preserve"> just those which fulfil the 10</w:t>
      </w:r>
      <w:r w:rsidR="007C07FA">
        <w:t xml:space="preserve"> days</w:t>
      </w:r>
      <w:r w:rsidR="00314490">
        <w:t xml:space="preserve"> requirement for the RDC, </w:t>
      </w:r>
      <w:r w:rsidR="005401EF">
        <w:t>and it should be signed off by your Supervi</w:t>
      </w:r>
      <w:r w:rsidR="00352E95">
        <w:t>sor at least annually</w:t>
      </w:r>
      <w:r w:rsidR="005401EF">
        <w:t>.</w:t>
      </w:r>
    </w:p>
    <w:p w:rsidR="00151C9B" w:rsidRDefault="00BA2B65" w:rsidP="00151C9B">
      <w:pPr>
        <w:rPr>
          <w:b/>
        </w:rPr>
      </w:pPr>
      <w:r w:rsidRPr="00BA2B65">
        <w:rPr>
          <w:b/>
        </w:rPr>
        <w:t>It is very important that you maintain a training</w:t>
      </w:r>
      <w:r w:rsidR="00352E95">
        <w:rPr>
          <w:b/>
        </w:rPr>
        <w:t>/learning/development</w:t>
      </w:r>
      <w:r w:rsidRPr="00BA2B65">
        <w:rPr>
          <w:b/>
        </w:rPr>
        <w:t xml:space="preserve"> log in some form. </w:t>
      </w:r>
      <w:r w:rsidR="008F330C">
        <w:rPr>
          <w:b/>
        </w:rPr>
        <w:t>Aside from its benefits to you, i</w:t>
      </w:r>
      <w:r w:rsidRPr="00BA2B65">
        <w:rPr>
          <w:b/>
        </w:rPr>
        <w:t>t will be assessed by your Supervi</w:t>
      </w:r>
      <w:r w:rsidR="00073A75">
        <w:rPr>
          <w:b/>
        </w:rPr>
        <w:t>sory team in order to determine</w:t>
      </w:r>
      <w:r w:rsidRPr="00BA2B65">
        <w:rPr>
          <w:b/>
        </w:rPr>
        <w:t xml:space="preserve"> whether you have met the requirements of the RDC.  </w:t>
      </w:r>
      <w:r w:rsidR="00151C9B">
        <w:rPr>
          <w:b/>
        </w:rPr>
        <w:t xml:space="preserve">A copy of your Training Log should be sent to </w:t>
      </w:r>
      <w:hyperlink r:id="rId9" w:history="1">
        <w:r w:rsidR="00151C9B" w:rsidRPr="00CD5141">
          <w:rPr>
            <w:rStyle w:val="Hyperlink"/>
            <w:b/>
          </w:rPr>
          <w:t>techne@rhul.ac.uk</w:t>
        </w:r>
      </w:hyperlink>
      <w:r w:rsidR="00151C9B">
        <w:rPr>
          <w:b/>
        </w:rPr>
        <w:t xml:space="preserve"> a</w:t>
      </w:r>
      <w:r w:rsidR="00F6673A">
        <w:rPr>
          <w:b/>
        </w:rPr>
        <w:t>t the end of each academic year because</w:t>
      </w:r>
      <w:r w:rsidR="00151C9B">
        <w:rPr>
          <w:b/>
        </w:rPr>
        <w:t xml:space="preserve"> TECHNE is required to report to the AHRC on student training and development activities.</w:t>
      </w:r>
    </w:p>
    <w:p w:rsidR="00C33594" w:rsidRPr="001405E5" w:rsidRDefault="00C33594" w:rsidP="00151C9B">
      <w:pPr>
        <w:rPr>
          <w:b/>
        </w:rPr>
      </w:pPr>
      <w:r w:rsidRPr="001405E5">
        <w:rPr>
          <w:b/>
        </w:rPr>
        <w:t>What Counts towards the Ten Days?</w:t>
      </w:r>
    </w:p>
    <w:p w:rsidR="008F330C" w:rsidRDefault="00151C9B" w:rsidP="005270CB">
      <w:r>
        <w:t>Training does not have to be provided by TECHNE in order to ‘count’.</w:t>
      </w:r>
      <w:r w:rsidR="00F6673A">
        <w:t xml:space="preserve"> </w:t>
      </w:r>
      <w:r w:rsidR="00F6673A">
        <w:t>Courses or activities can be taken at any location or institution (i.e. not restricted to TECHNE institutions) and in any mode e.g. in person or online</w:t>
      </w:r>
      <w:r w:rsidR="00F6673A">
        <w:t>.</w:t>
      </w:r>
      <w:r>
        <w:t xml:space="preserve">   </w:t>
      </w:r>
      <w:r w:rsidR="008F330C">
        <w:t xml:space="preserve">The </w:t>
      </w:r>
      <w:r w:rsidR="00B359E6">
        <w:t>most important consideration of whether an activity is eligible is that:</w:t>
      </w:r>
    </w:p>
    <w:p w:rsidR="00B359E6" w:rsidRDefault="00B359E6" w:rsidP="00B359E6">
      <w:pPr>
        <w:pStyle w:val="ListParagraph"/>
        <w:numPr>
          <w:ilvl w:val="0"/>
          <w:numId w:val="2"/>
        </w:numPr>
      </w:pPr>
      <w:r>
        <w:t>It is developmental i.e. adds to your existing portfolio of skills, knowledge or understanding</w:t>
      </w:r>
    </w:p>
    <w:p w:rsidR="00B359E6" w:rsidRDefault="00B359E6" w:rsidP="00151C9B">
      <w:pPr>
        <w:pStyle w:val="ListParagraph"/>
        <w:numPr>
          <w:ilvl w:val="0"/>
          <w:numId w:val="2"/>
        </w:numPr>
      </w:pPr>
      <w:r>
        <w:t xml:space="preserve">It goes beyond </w:t>
      </w:r>
      <w:r w:rsidR="001405E5">
        <w:t>the specific requirements of your</w:t>
      </w:r>
      <w:r w:rsidR="00151C9B">
        <w:t xml:space="preserve"> PhD and provides wider</w:t>
      </w:r>
      <w:r>
        <w:t xml:space="preserve"> skills, knowledge or understanding that </w:t>
      </w:r>
      <w:r w:rsidR="001405E5">
        <w:t>might be applied beyond your course of study</w:t>
      </w:r>
      <w:r w:rsidR="00151C9B">
        <w:t xml:space="preserve">.  The AHRC has a list of wider skills on pages 5 to 7 of its </w:t>
      </w:r>
      <w:r w:rsidR="00151C9B" w:rsidRPr="00151C9B">
        <w:rPr>
          <w:i/>
        </w:rPr>
        <w:t>Research Training Framework for Doctoral Students</w:t>
      </w:r>
      <w:r w:rsidR="00151C9B">
        <w:t xml:space="preserve"> Oct 2014 available at </w:t>
      </w:r>
      <w:hyperlink r:id="rId10" w:history="1">
        <w:r w:rsidR="00151C9B" w:rsidRPr="00CD5141">
          <w:rPr>
            <w:rStyle w:val="Hyperlink"/>
          </w:rPr>
          <w:t>http://www.ahrc.ac.uk/documents/projects-programmes-and-initiatives/ahrc-research-training-framework-for-doctoral-students/</w:t>
        </w:r>
      </w:hyperlink>
      <w:r w:rsidR="00151C9B">
        <w:t xml:space="preserve"> </w:t>
      </w:r>
    </w:p>
    <w:p w:rsidR="001405E5" w:rsidRDefault="001405E5" w:rsidP="001405E5">
      <w:r>
        <w:t>For example, any course on teaching, writing research propo</w:t>
      </w:r>
      <w:r w:rsidR="007C07FA">
        <w:t>sals or using social media</w:t>
      </w:r>
      <w:r>
        <w:t xml:space="preserve"> clearly add</w:t>
      </w:r>
      <w:r w:rsidR="007C07FA">
        <w:t>s</w:t>
      </w:r>
      <w:r>
        <w:t xml:space="preserve"> to your </w:t>
      </w:r>
      <w:r w:rsidR="00F6673A">
        <w:t xml:space="preserve">wider </w:t>
      </w:r>
      <w:r>
        <w:t xml:space="preserve">professional development and </w:t>
      </w:r>
      <w:r w:rsidR="007C07FA">
        <w:t xml:space="preserve">would </w:t>
      </w:r>
      <w:r>
        <w:t xml:space="preserve">be eligible.  Attending a subject-specific conference for a day </w:t>
      </w:r>
      <w:r w:rsidR="007C07FA" w:rsidRPr="007C07FA">
        <w:rPr>
          <w:i/>
        </w:rPr>
        <w:t>would not</w:t>
      </w:r>
      <w:r w:rsidR="007C07FA">
        <w:t xml:space="preserve"> be eligible</w:t>
      </w:r>
      <w:r>
        <w:t xml:space="preserve">, but the time giving a poster or paper </w:t>
      </w:r>
      <w:r w:rsidR="007C07FA">
        <w:t xml:space="preserve">at the conference </w:t>
      </w:r>
      <w:r w:rsidRPr="007C07FA">
        <w:rPr>
          <w:i/>
        </w:rPr>
        <w:t>would</w:t>
      </w:r>
      <w:r w:rsidR="007C07FA" w:rsidRPr="007C07FA">
        <w:rPr>
          <w:i/>
        </w:rPr>
        <w:t xml:space="preserve"> </w:t>
      </w:r>
      <w:r w:rsidR="007C07FA">
        <w:t>be eligible since it</w:t>
      </w:r>
      <w:r>
        <w:t xml:space="preserve"> helps you to develop presentation skills.</w:t>
      </w:r>
    </w:p>
    <w:p w:rsidR="0070586B" w:rsidRDefault="0070586B" w:rsidP="001405E5">
      <w:r>
        <w:t>The ten days are counted in a minimum unit of a half-day, rather than in hours.</w:t>
      </w:r>
    </w:p>
    <w:p w:rsidR="007C07FA" w:rsidRDefault="007C07FA" w:rsidP="001405E5">
      <w:r>
        <w:t xml:space="preserve">The TECHNE Welcome Event and Student Congresses should be included in your Training Log, </w:t>
      </w:r>
      <w:r w:rsidRPr="00314490">
        <w:rPr>
          <w:b/>
        </w:rPr>
        <w:t>b</w:t>
      </w:r>
      <w:r w:rsidR="00F6673A">
        <w:rPr>
          <w:b/>
        </w:rPr>
        <w:t>ut do not count towards your 10</w:t>
      </w:r>
      <w:r w:rsidRPr="00314490">
        <w:rPr>
          <w:b/>
        </w:rPr>
        <w:t xml:space="preserve"> days</w:t>
      </w:r>
      <w:r>
        <w:t xml:space="preserve"> since these are additional development opportunities for TECHNE students.</w:t>
      </w:r>
    </w:p>
    <w:p w:rsidR="007C07FA" w:rsidRDefault="007C07FA" w:rsidP="001405E5">
      <w:pPr>
        <w:rPr>
          <w:b/>
        </w:rPr>
      </w:pPr>
      <w:r w:rsidRPr="007C07FA">
        <w:rPr>
          <w:b/>
        </w:rPr>
        <w:t>Eligible activities</w:t>
      </w:r>
    </w:p>
    <w:p w:rsidR="007C07FA" w:rsidRDefault="007C07FA" w:rsidP="001405E5">
      <w:r>
        <w:t>The list below is not exhaustive and other activities may be eligibl</w:t>
      </w:r>
      <w:r w:rsidR="00314490">
        <w:t>e too.  Please check with your s</w:t>
      </w:r>
      <w:r>
        <w:t>upervisor</w:t>
      </w:r>
      <w:r w:rsidR="00314490">
        <w:t>y team</w:t>
      </w:r>
      <w:r>
        <w:t xml:space="preserve"> or with TECHNE administration.</w:t>
      </w:r>
      <w:r w:rsidR="00CF3032">
        <w:t xml:space="preserve">  </w:t>
      </w:r>
      <w:r w:rsidR="009C70C6">
        <w:t xml:space="preserve"> The column headed ‘Maximum value in one year’ </w:t>
      </w:r>
      <w:r w:rsidR="009C70C6">
        <w:lastRenderedPageBreak/>
        <w:t xml:space="preserve">is there </w:t>
      </w:r>
      <w:r w:rsidR="00314490">
        <w:t xml:space="preserve">to ensure </w:t>
      </w:r>
      <w:r w:rsidR="009C70C6">
        <w:t>some variety in the activities you undertake, i.e. doi</w:t>
      </w:r>
      <w:r w:rsidR="00314490">
        <w:t>ng only a 10 day language course would</w:t>
      </w:r>
      <w:r w:rsidR="009C70C6">
        <w:t xml:space="preserve"> not fulfil the RDC requirement.</w:t>
      </w:r>
    </w:p>
    <w:p w:rsidR="007C07FA" w:rsidRDefault="007C07FA" w:rsidP="001405E5"/>
    <w:p w:rsidR="00352E95" w:rsidRDefault="00352E95" w:rsidP="001405E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984"/>
        <w:gridCol w:w="1559"/>
      </w:tblGrid>
      <w:tr w:rsidR="00F062D5" w:rsidTr="00352E95">
        <w:trPr>
          <w:tblHeader/>
        </w:trPr>
        <w:tc>
          <w:tcPr>
            <w:tcW w:w="2660" w:type="dxa"/>
          </w:tcPr>
          <w:p w:rsidR="00F062D5" w:rsidRPr="00CF3032" w:rsidRDefault="00F062D5" w:rsidP="001405E5">
            <w:pPr>
              <w:rPr>
                <w:b/>
              </w:rPr>
            </w:pPr>
            <w:r w:rsidRPr="00CF3032">
              <w:rPr>
                <w:b/>
              </w:rPr>
              <w:t>Activity</w:t>
            </w:r>
          </w:p>
        </w:tc>
        <w:tc>
          <w:tcPr>
            <w:tcW w:w="2977" w:type="dxa"/>
          </w:tcPr>
          <w:p w:rsidR="00F062D5" w:rsidRPr="00CF3032" w:rsidRDefault="00F062D5" w:rsidP="001405E5">
            <w:pPr>
              <w:rPr>
                <w:b/>
              </w:rPr>
            </w:pPr>
            <w:r w:rsidRPr="00CF3032">
              <w:rPr>
                <w:b/>
              </w:rPr>
              <w:t>Example</w:t>
            </w:r>
          </w:p>
        </w:tc>
        <w:tc>
          <w:tcPr>
            <w:tcW w:w="1984" w:type="dxa"/>
          </w:tcPr>
          <w:p w:rsidR="00F062D5" w:rsidRPr="00CF3032" w:rsidRDefault="00F062D5" w:rsidP="001405E5">
            <w:pPr>
              <w:rPr>
                <w:b/>
              </w:rPr>
            </w:pPr>
            <w:r w:rsidRPr="00CF3032">
              <w:rPr>
                <w:b/>
              </w:rPr>
              <w:t>Value</w:t>
            </w:r>
          </w:p>
        </w:tc>
        <w:tc>
          <w:tcPr>
            <w:tcW w:w="1559" w:type="dxa"/>
          </w:tcPr>
          <w:p w:rsidR="00F062D5" w:rsidRPr="00CF3032" w:rsidRDefault="00F062D5" w:rsidP="001405E5">
            <w:pPr>
              <w:rPr>
                <w:b/>
              </w:rPr>
            </w:pPr>
            <w:r w:rsidRPr="00CF3032">
              <w:rPr>
                <w:b/>
              </w:rPr>
              <w:t>Maximum value in one year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Generic skills courses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Writing skills, presentation skills, project management, negotiating</w:t>
            </w:r>
          </w:p>
        </w:tc>
        <w:tc>
          <w:tcPr>
            <w:tcW w:w="1984" w:type="dxa"/>
          </w:tcPr>
          <w:p w:rsidR="00F062D5" w:rsidRPr="00352E95" w:rsidRDefault="003F7AB5" w:rsidP="003F7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course lasting 3 hours or more counts as 1 day; less than 3 hours a half day</w:t>
            </w:r>
          </w:p>
        </w:tc>
        <w:tc>
          <w:tcPr>
            <w:tcW w:w="1559" w:type="dxa"/>
          </w:tcPr>
          <w:p w:rsidR="00F062D5" w:rsidRDefault="00F062D5" w:rsidP="00B03BCD">
            <w:r>
              <w:t>Any one course cannot count for more than 3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Academic skills courses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Teaching, making conference presentations, writing grant applications</w:t>
            </w:r>
          </w:p>
        </w:tc>
        <w:tc>
          <w:tcPr>
            <w:tcW w:w="1984" w:type="dxa"/>
          </w:tcPr>
          <w:p w:rsidR="00F062D5" w:rsidRPr="00352E95" w:rsidRDefault="003F7AB5" w:rsidP="00C7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course lasting 3 hours or more counts as 1 day; less than 3 hours a half day</w:t>
            </w:r>
          </w:p>
        </w:tc>
        <w:tc>
          <w:tcPr>
            <w:tcW w:w="1559" w:type="dxa"/>
          </w:tcPr>
          <w:p w:rsidR="00F062D5" w:rsidRDefault="00F062D5" w:rsidP="00B03BCD">
            <w:r>
              <w:t>Any one course cannot count for more than 3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Research-related courses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Research methods, theory, conducting literature reviews</w:t>
            </w:r>
          </w:p>
        </w:tc>
        <w:tc>
          <w:tcPr>
            <w:tcW w:w="1984" w:type="dxa"/>
          </w:tcPr>
          <w:p w:rsidR="00F062D5" w:rsidRPr="00352E95" w:rsidRDefault="003F7AB5" w:rsidP="00C7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course lasting 3 hours or more counts as 1 day; less than 3 hours a half day</w:t>
            </w:r>
          </w:p>
        </w:tc>
        <w:tc>
          <w:tcPr>
            <w:tcW w:w="1559" w:type="dxa"/>
          </w:tcPr>
          <w:p w:rsidR="00F062D5" w:rsidRDefault="00F062D5" w:rsidP="00C71BD4">
            <w:r>
              <w:t>Any one course cannot count for more than 3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Language courses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3 week intensive course in Spanish</w:t>
            </w: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Number of days on course</w:t>
            </w:r>
          </w:p>
        </w:tc>
        <w:tc>
          <w:tcPr>
            <w:tcW w:w="1559" w:type="dxa"/>
          </w:tcPr>
          <w:p w:rsidR="00F062D5" w:rsidRDefault="00F062D5" w:rsidP="001405E5">
            <w:r>
              <w:t>3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Conference</w:t>
            </w:r>
            <w:r w:rsidR="00F2362A" w:rsidRPr="00352E95">
              <w:rPr>
                <w:sz w:val="20"/>
                <w:szCs w:val="20"/>
              </w:rPr>
              <w:t>/exhibition/performance</w:t>
            </w:r>
            <w:r w:rsidRPr="00352E95">
              <w:rPr>
                <w:sz w:val="20"/>
                <w:szCs w:val="20"/>
              </w:rPr>
              <w:t xml:space="preserve"> attendance only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0 days (not eligible)</w:t>
            </w:r>
          </w:p>
        </w:tc>
        <w:tc>
          <w:tcPr>
            <w:tcW w:w="1559" w:type="dxa"/>
          </w:tcPr>
          <w:p w:rsidR="00F062D5" w:rsidRDefault="00F062D5" w:rsidP="001405E5"/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Conference/Exhibition/Performance – assisting on the day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Helping with conference registration or setting up exhibition</w:t>
            </w: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0.5 or 1 day as appropriate</w:t>
            </w:r>
          </w:p>
        </w:tc>
        <w:tc>
          <w:tcPr>
            <w:tcW w:w="1559" w:type="dxa"/>
          </w:tcPr>
          <w:p w:rsidR="00F062D5" w:rsidRDefault="00F062D5" w:rsidP="001405E5">
            <w:r>
              <w:t>2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5401EF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Conference/Exhibition/Performance  –  organiser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Membership of conference organising committee</w:t>
            </w: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2 days</w:t>
            </w:r>
          </w:p>
        </w:tc>
        <w:tc>
          <w:tcPr>
            <w:tcW w:w="1559" w:type="dxa"/>
          </w:tcPr>
          <w:p w:rsidR="00F062D5" w:rsidRDefault="00F062D5" w:rsidP="001405E5">
            <w:r>
              <w:t>4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Conference/Exhibition/Performance – submission of abstract or proposal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Half-day</w:t>
            </w:r>
          </w:p>
        </w:tc>
        <w:tc>
          <w:tcPr>
            <w:tcW w:w="1559" w:type="dxa"/>
          </w:tcPr>
          <w:p w:rsidR="00F062D5" w:rsidRDefault="00F062D5" w:rsidP="001405E5">
            <w:r>
              <w:t>2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 xml:space="preserve">Conferences /Exhibition/Performance presentation 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Presentation of conference paper  or poster or participation in performance</w:t>
            </w: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1 day</w:t>
            </w:r>
          </w:p>
        </w:tc>
        <w:tc>
          <w:tcPr>
            <w:tcW w:w="1559" w:type="dxa"/>
          </w:tcPr>
          <w:p w:rsidR="00F062D5" w:rsidRDefault="00F062D5" w:rsidP="001405E5">
            <w:r>
              <w:t>3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Publications (or equivalent practice-related output) – submission of paper or book chapter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2 days</w:t>
            </w:r>
          </w:p>
        </w:tc>
        <w:tc>
          <w:tcPr>
            <w:tcW w:w="1559" w:type="dxa"/>
          </w:tcPr>
          <w:p w:rsidR="00F062D5" w:rsidRDefault="00F062D5" w:rsidP="001405E5">
            <w:r>
              <w:t>4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Work placements</w:t>
            </w:r>
            <w:r w:rsidR="00F2362A" w:rsidRPr="00352E95">
              <w:rPr>
                <w:sz w:val="20"/>
                <w:szCs w:val="20"/>
              </w:rPr>
              <w:t xml:space="preserve"> or work-related projects</w:t>
            </w:r>
          </w:p>
        </w:tc>
        <w:tc>
          <w:tcPr>
            <w:tcW w:w="2977" w:type="dxa"/>
          </w:tcPr>
          <w:p w:rsidR="00F062D5" w:rsidRPr="00352E95" w:rsidRDefault="00F062D5" w:rsidP="00F2362A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 xml:space="preserve">Helping a TECHNE Partner </w:t>
            </w:r>
            <w:r w:rsidR="00F2362A" w:rsidRPr="00352E95">
              <w:rPr>
                <w:sz w:val="20"/>
                <w:szCs w:val="20"/>
              </w:rPr>
              <w:t xml:space="preserve">organisation over a 6 month period </w:t>
            </w:r>
            <w:r w:rsidRPr="00352E95">
              <w:rPr>
                <w:sz w:val="20"/>
                <w:szCs w:val="20"/>
              </w:rPr>
              <w:t xml:space="preserve">with research for an exhibition </w:t>
            </w: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Number of days of placement</w:t>
            </w:r>
          </w:p>
        </w:tc>
        <w:tc>
          <w:tcPr>
            <w:tcW w:w="1559" w:type="dxa"/>
          </w:tcPr>
          <w:p w:rsidR="00F062D5" w:rsidRDefault="00F062D5" w:rsidP="001405E5">
            <w:r>
              <w:t>5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Shadowing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Shadowing a member of staff at a TECHNE Partner organisation</w:t>
            </w: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Number of days of shadowing</w:t>
            </w:r>
          </w:p>
        </w:tc>
        <w:tc>
          <w:tcPr>
            <w:tcW w:w="1559" w:type="dxa"/>
          </w:tcPr>
          <w:p w:rsidR="00F062D5" w:rsidRDefault="00F062D5" w:rsidP="001405E5">
            <w:r>
              <w:t>3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Volunteering/Impact/Social Engagement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Giving a talk on research area at local school or local radio</w:t>
            </w: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1 day</w:t>
            </w:r>
          </w:p>
        </w:tc>
        <w:tc>
          <w:tcPr>
            <w:tcW w:w="1559" w:type="dxa"/>
          </w:tcPr>
          <w:p w:rsidR="00F062D5" w:rsidRDefault="00F062D5" w:rsidP="001405E5">
            <w:r>
              <w:t>3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Undergraduate teaching</w:t>
            </w:r>
          </w:p>
        </w:tc>
        <w:tc>
          <w:tcPr>
            <w:tcW w:w="2977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62D5" w:rsidRPr="00352E95" w:rsidRDefault="00F062D5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 xml:space="preserve">Number of days </w:t>
            </w:r>
          </w:p>
        </w:tc>
        <w:tc>
          <w:tcPr>
            <w:tcW w:w="1559" w:type="dxa"/>
          </w:tcPr>
          <w:p w:rsidR="00F062D5" w:rsidRDefault="00F062D5" w:rsidP="001405E5">
            <w:r>
              <w:t>4 days</w:t>
            </w:r>
          </w:p>
        </w:tc>
      </w:tr>
      <w:tr w:rsidR="00F062D5" w:rsidTr="00F062D5">
        <w:tc>
          <w:tcPr>
            <w:tcW w:w="2660" w:type="dxa"/>
          </w:tcPr>
          <w:p w:rsidR="00F062D5" w:rsidRPr="00352E95" w:rsidRDefault="00F82590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lastRenderedPageBreak/>
              <w:t>Committee membership</w:t>
            </w:r>
          </w:p>
        </w:tc>
        <w:tc>
          <w:tcPr>
            <w:tcW w:w="2977" w:type="dxa"/>
          </w:tcPr>
          <w:p w:rsidR="00F062D5" w:rsidRPr="00352E95" w:rsidRDefault="00F82590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Representing students on TECHNE Management Group or PGR students on University Committee</w:t>
            </w:r>
          </w:p>
        </w:tc>
        <w:tc>
          <w:tcPr>
            <w:tcW w:w="1984" w:type="dxa"/>
          </w:tcPr>
          <w:p w:rsidR="00F062D5" w:rsidRPr="00352E95" w:rsidRDefault="00F82590" w:rsidP="001405E5">
            <w:pPr>
              <w:rPr>
                <w:sz w:val="20"/>
                <w:szCs w:val="20"/>
              </w:rPr>
            </w:pPr>
            <w:r w:rsidRPr="00352E95">
              <w:rPr>
                <w:sz w:val="20"/>
                <w:szCs w:val="20"/>
              </w:rPr>
              <w:t>Half day per meeting</w:t>
            </w:r>
          </w:p>
        </w:tc>
        <w:tc>
          <w:tcPr>
            <w:tcW w:w="1559" w:type="dxa"/>
          </w:tcPr>
          <w:p w:rsidR="00F062D5" w:rsidRDefault="00F82590" w:rsidP="001405E5">
            <w:r>
              <w:t>3 days</w:t>
            </w:r>
          </w:p>
        </w:tc>
      </w:tr>
    </w:tbl>
    <w:p w:rsidR="007C07FA" w:rsidRPr="007C07FA" w:rsidRDefault="007C07FA" w:rsidP="001405E5"/>
    <w:sectPr w:rsidR="007C07FA" w:rsidRPr="007C07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DB" w:rsidRDefault="001408DB" w:rsidP="001408DB">
      <w:pPr>
        <w:spacing w:after="0" w:line="240" w:lineRule="auto"/>
      </w:pPr>
      <w:r>
        <w:separator/>
      </w:r>
    </w:p>
  </w:endnote>
  <w:endnote w:type="continuationSeparator" w:id="0">
    <w:p w:rsidR="001408DB" w:rsidRDefault="001408DB" w:rsidP="0014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32" w:rsidRDefault="00745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59821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45A32" w:rsidRDefault="00745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8DB" w:rsidRDefault="001408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32" w:rsidRDefault="00745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DB" w:rsidRDefault="001408DB" w:rsidP="001408DB">
      <w:pPr>
        <w:spacing w:after="0" w:line="240" w:lineRule="auto"/>
      </w:pPr>
      <w:r>
        <w:separator/>
      </w:r>
    </w:p>
  </w:footnote>
  <w:footnote w:type="continuationSeparator" w:id="0">
    <w:p w:rsidR="001408DB" w:rsidRDefault="001408DB" w:rsidP="0014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32" w:rsidRDefault="00745A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32" w:rsidRDefault="00745A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32" w:rsidRDefault="00745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E84"/>
    <w:multiLevelType w:val="hybridMultilevel"/>
    <w:tmpl w:val="22B4A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163DA"/>
    <w:multiLevelType w:val="hybridMultilevel"/>
    <w:tmpl w:val="40820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A0B44"/>
    <w:multiLevelType w:val="hybridMultilevel"/>
    <w:tmpl w:val="DFDC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CB"/>
    <w:rsid w:val="00073A75"/>
    <w:rsid w:val="00132BAE"/>
    <w:rsid w:val="001405E5"/>
    <w:rsid w:val="001408DB"/>
    <w:rsid w:val="00151C9B"/>
    <w:rsid w:val="00314490"/>
    <w:rsid w:val="00352E95"/>
    <w:rsid w:val="003D0817"/>
    <w:rsid w:val="003D7591"/>
    <w:rsid w:val="003F7AB5"/>
    <w:rsid w:val="005270CB"/>
    <w:rsid w:val="005401EF"/>
    <w:rsid w:val="00597151"/>
    <w:rsid w:val="0060349E"/>
    <w:rsid w:val="006546DC"/>
    <w:rsid w:val="0070586B"/>
    <w:rsid w:val="00745A32"/>
    <w:rsid w:val="007C07FA"/>
    <w:rsid w:val="007F7559"/>
    <w:rsid w:val="00844150"/>
    <w:rsid w:val="008F330C"/>
    <w:rsid w:val="009C70C6"/>
    <w:rsid w:val="00B03BCD"/>
    <w:rsid w:val="00B359E6"/>
    <w:rsid w:val="00B83402"/>
    <w:rsid w:val="00BA2B65"/>
    <w:rsid w:val="00BC4C85"/>
    <w:rsid w:val="00C33594"/>
    <w:rsid w:val="00C95C6B"/>
    <w:rsid w:val="00CF3032"/>
    <w:rsid w:val="00D437C7"/>
    <w:rsid w:val="00E56F7C"/>
    <w:rsid w:val="00F062D5"/>
    <w:rsid w:val="00F0674E"/>
    <w:rsid w:val="00F2362A"/>
    <w:rsid w:val="00F6673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BAE4D-6682-4C56-AA67-5DDE4313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B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DB"/>
  </w:style>
  <w:style w:type="paragraph" w:styleId="Footer">
    <w:name w:val="footer"/>
    <w:basedOn w:val="Normal"/>
    <w:link w:val="FooterChar"/>
    <w:uiPriority w:val="99"/>
    <w:unhideWhenUsed/>
    <w:rsid w:val="0014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hrc.ac.uk/documents/projects-programmes-and-initiatives/ahrc-research-training-framework-for-doctoral-stud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e@rhul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F91F-67B4-4BB5-A9D7-C7047813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Gawthrope, Jane</dc:creator>
  <cp:lastModifiedBy>Gawthrope, Jane</cp:lastModifiedBy>
  <cp:revision>17</cp:revision>
  <cp:lastPrinted>2014-09-19T11:16:00Z</cp:lastPrinted>
  <dcterms:created xsi:type="dcterms:W3CDTF">2014-09-17T10:48:00Z</dcterms:created>
  <dcterms:modified xsi:type="dcterms:W3CDTF">2016-01-19T15:40:00Z</dcterms:modified>
</cp:coreProperties>
</file>